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F38E5" w14:textId="77777777" w:rsidR="0040344D" w:rsidRPr="002A5307" w:rsidRDefault="0040344D" w:rsidP="0040344D">
      <w:pPr>
        <w:pStyle w:val="FigureTable"/>
        <w:keepNext w:val="0"/>
        <w:rPr>
          <w:rFonts w:ascii="Times New Roman" w:hAnsi="Times New Roman" w:cs="Times New Roman"/>
        </w:rPr>
      </w:pPr>
      <w:bookmarkStart w:id="0" w:name="_Ref149837943"/>
      <w:bookmarkStart w:id="1" w:name="_Toc151715278"/>
      <w:r>
        <w:rPr>
          <w:rFonts w:ascii="Times New Roman" w:hAnsi="Times New Roman" w:cs="Times New Roman"/>
        </w:rPr>
        <w:t xml:space="preserve">Supplementary Table </w:t>
      </w:r>
      <w:bookmarkEnd w:id="0"/>
      <w:r w:rsidRPr="004F28D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Pr="002A5307">
        <w:rPr>
          <w:rFonts w:ascii="Times New Roman" w:hAnsi="Times New Roman" w:cs="Times New Roman"/>
        </w:rPr>
        <w:t xml:space="preserve"> </w:t>
      </w:r>
      <w:r w:rsidRPr="006001F8">
        <w:rPr>
          <w:rFonts w:ascii="Times New Roman" w:hAnsi="Times New Roman" w:cs="Times New Roman"/>
          <w:b w:val="0"/>
          <w:bCs/>
        </w:rPr>
        <w:t>HMRN registry</w:t>
      </w:r>
      <w:r>
        <w:rPr>
          <w:rFonts w:ascii="Times New Roman" w:hAnsi="Times New Roman" w:cs="Times New Roman"/>
          <w:b w:val="0"/>
          <w:bCs/>
        </w:rPr>
        <w:t xml:space="preserve"> </w:t>
      </w:r>
      <w:r w:rsidRPr="00044C1B">
        <w:rPr>
          <w:rFonts w:ascii="Times New Roman" w:hAnsi="Times New Roman" w:cs="Times New Roman"/>
          <w:b w:val="0"/>
          <w:bCs/>
        </w:rPr>
        <w:t>treatment basket</w:t>
      </w:r>
      <w:bookmarkEnd w:id="1"/>
      <w:r w:rsidRPr="00044C1B">
        <w:rPr>
          <w:rFonts w:ascii="Times New Roman" w:hAnsi="Times New Roman" w:cs="Times New Roman"/>
          <w:b w:val="0"/>
          <w:bCs/>
        </w:rPr>
        <w:t xml:space="preserve"> </w:t>
      </w:r>
      <w:r>
        <w:rPr>
          <w:rFonts w:ascii="Times New Roman" w:hAnsi="Times New Roman" w:cs="Times New Roman"/>
          <w:b w:val="0"/>
          <w:bCs/>
          <w:noProof/>
        </w:rPr>
        <w:t>(17)</w:t>
      </w:r>
      <w:r>
        <w:rPr>
          <w:rFonts w:ascii="Times New Roman" w:hAnsi="Times New Roman" w:cs="Times New Roman"/>
          <w:b w:val="0"/>
          <w:bCs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4"/>
        <w:gridCol w:w="2246"/>
      </w:tblGrid>
      <w:tr w:rsidR="0040344D" w:rsidRPr="002A5307" w14:paraId="70D4758C" w14:textId="77777777" w:rsidTr="00794C94">
        <w:trPr>
          <w:tblHeader/>
        </w:trPr>
        <w:tc>
          <w:tcPr>
            <w:tcW w:w="3799" w:type="pct"/>
            <w:shd w:val="clear" w:color="auto" w:fill="000000" w:themeFill="text1"/>
            <w:vAlign w:val="center"/>
          </w:tcPr>
          <w:p w14:paraId="37868A4D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2A5307"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  <w:t>Treatment regimen</w:t>
            </w:r>
            <w:r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  <w:t xml:space="preserve">, </w:t>
            </w:r>
            <w:r w:rsidRPr="00C1726A"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  <w:t>n</w:t>
            </w:r>
            <w:r w:rsidRPr="006758C6">
              <w:rPr>
                <w:rFonts w:ascii="Times New Roman" w:hAnsi="Times New Roman"/>
                <w:b/>
                <w:bCs/>
                <w:i/>
                <w:iCs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  <w:t>(%)</w:t>
            </w:r>
          </w:p>
        </w:tc>
        <w:tc>
          <w:tcPr>
            <w:tcW w:w="1201" w:type="pct"/>
            <w:shd w:val="clear" w:color="auto" w:fill="000000" w:themeFill="text1"/>
            <w:vAlign w:val="center"/>
          </w:tcPr>
          <w:p w14:paraId="3F746F09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  <w:t xml:space="preserve">n </w:t>
            </w:r>
            <w:r w:rsidRPr="002A5307"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  <w:t>=</w:t>
            </w:r>
            <w:r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Pr="002A5307"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</w:rPr>
              <w:t>90</w:t>
            </w:r>
          </w:p>
        </w:tc>
      </w:tr>
      <w:tr w:rsidR="0040344D" w:rsidRPr="002A5307" w14:paraId="134F5D36" w14:textId="77777777" w:rsidTr="00794C94">
        <w:tc>
          <w:tcPr>
            <w:tcW w:w="3799" w:type="pct"/>
            <w:vAlign w:val="center"/>
          </w:tcPr>
          <w:p w14:paraId="21AE6E6D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sz w:val="18"/>
                <w:szCs w:val="18"/>
              </w:rPr>
            </w:pPr>
            <w:r w:rsidRPr="002A5307">
              <w:rPr>
                <w:rFonts w:ascii="Times New Roman" w:hAnsi="Times New Roman"/>
                <w:sz w:val="18"/>
                <w:szCs w:val="18"/>
              </w:rPr>
              <w:t>Bendamustine-rituximab</w:t>
            </w:r>
          </w:p>
        </w:tc>
        <w:tc>
          <w:tcPr>
            <w:tcW w:w="1201" w:type="pct"/>
            <w:vAlign w:val="center"/>
          </w:tcPr>
          <w:p w14:paraId="3BCF1B19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 (</w:t>
            </w:r>
            <w:r w:rsidRPr="002A5307">
              <w:rPr>
                <w:rFonts w:ascii="Times New Roman" w:hAnsi="Times New Roman"/>
                <w:sz w:val="18"/>
                <w:szCs w:val="18"/>
              </w:rPr>
              <w:t>30.0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40344D" w:rsidRPr="002A5307" w14:paraId="1FCDD637" w14:textId="77777777" w:rsidTr="00794C94">
        <w:tc>
          <w:tcPr>
            <w:tcW w:w="3799" w:type="pct"/>
            <w:vAlign w:val="center"/>
          </w:tcPr>
          <w:p w14:paraId="66B78CE6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sz w:val="18"/>
                <w:szCs w:val="18"/>
              </w:rPr>
            </w:pPr>
            <w:r w:rsidRPr="002A5307">
              <w:rPr>
                <w:rFonts w:ascii="Times New Roman" w:hAnsi="Times New Roman"/>
                <w:sz w:val="18"/>
                <w:szCs w:val="18"/>
              </w:rPr>
              <w:t>Rituximab monotherapy</w:t>
            </w:r>
          </w:p>
        </w:tc>
        <w:tc>
          <w:tcPr>
            <w:tcW w:w="1201" w:type="pct"/>
            <w:vAlign w:val="bottom"/>
          </w:tcPr>
          <w:p w14:paraId="2AA53ACF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E5">
              <w:rPr>
                <w:rFonts w:ascii="Times New Roman" w:hAnsi="Times New Roman"/>
                <w:sz w:val="18"/>
                <w:szCs w:val="18"/>
              </w:rPr>
              <w:t>12 (13.3)</w:t>
            </w:r>
          </w:p>
        </w:tc>
      </w:tr>
      <w:tr w:rsidR="0040344D" w:rsidRPr="002A5307" w14:paraId="60089834" w14:textId="77777777" w:rsidTr="00794C94">
        <w:tc>
          <w:tcPr>
            <w:tcW w:w="3799" w:type="pct"/>
            <w:vAlign w:val="center"/>
          </w:tcPr>
          <w:p w14:paraId="369FCC9B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sz w:val="18"/>
                <w:szCs w:val="18"/>
              </w:rPr>
            </w:pPr>
            <w:r w:rsidRPr="002A5307">
              <w:rPr>
                <w:rFonts w:ascii="Times New Roman" w:hAnsi="Times New Roman"/>
                <w:sz w:val="18"/>
                <w:szCs w:val="18"/>
              </w:rPr>
              <w:t>Cyclophos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Pr="002A5307">
              <w:rPr>
                <w:rFonts w:ascii="Times New Roman" w:hAnsi="Times New Roman"/>
                <w:sz w:val="18"/>
                <w:szCs w:val="18"/>
              </w:rPr>
              <w:t>hamide-rituximab ± steroids</w:t>
            </w:r>
          </w:p>
        </w:tc>
        <w:tc>
          <w:tcPr>
            <w:tcW w:w="1201" w:type="pct"/>
            <w:vAlign w:val="bottom"/>
          </w:tcPr>
          <w:p w14:paraId="2B791ADF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E5">
              <w:rPr>
                <w:rFonts w:ascii="Times New Roman" w:hAnsi="Times New Roman"/>
                <w:sz w:val="18"/>
                <w:szCs w:val="18"/>
              </w:rPr>
              <w:t>12 (13.3)</w:t>
            </w:r>
          </w:p>
        </w:tc>
      </w:tr>
      <w:tr w:rsidR="0040344D" w:rsidRPr="002A5307" w14:paraId="2DF4FAEE" w14:textId="77777777" w:rsidTr="00794C94">
        <w:tc>
          <w:tcPr>
            <w:tcW w:w="3799" w:type="pct"/>
            <w:vAlign w:val="center"/>
          </w:tcPr>
          <w:p w14:paraId="44C3EFC3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sz w:val="18"/>
                <w:szCs w:val="18"/>
              </w:rPr>
            </w:pPr>
            <w:r w:rsidRPr="002A5307">
              <w:rPr>
                <w:rFonts w:ascii="Times New Roman" w:hAnsi="Times New Roman"/>
                <w:sz w:val="18"/>
                <w:szCs w:val="18"/>
              </w:rPr>
              <w:t>R-CVP</w:t>
            </w:r>
          </w:p>
        </w:tc>
        <w:tc>
          <w:tcPr>
            <w:tcW w:w="1201" w:type="pct"/>
            <w:vAlign w:val="bottom"/>
          </w:tcPr>
          <w:p w14:paraId="2BD1E2C2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E5">
              <w:rPr>
                <w:rFonts w:ascii="Times New Roman" w:hAnsi="Times New Roman"/>
                <w:sz w:val="18"/>
                <w:szCs w:val="18"/>
              </w:rPr>
              <w:t>10 (11.1)</w:t>
            </w:r>
          </w:p>
        </w:tc>
      </w:tr>
      <w:tr w:rsidR="0040344D" w:rsidRPr="002A5307" w14:paraId="3459045D" w14:textId="77777777" w:rsidTr="00794C94">
        <w:tc>
          <w:tcPr>
            <w:tcW w:w="3799" w:type="pct"/>
            <w:vAlign w:val="center"/>
          </w:tcPr>
          <w:p w14:paraId="2A4B36C2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sz w:val="18"/>
                <w:szCs w:val="18"/>
              </w:rPr>
            </w:pPr>
            <w:r w:rsidRPr="002A5307">
              <w:rPr>
                <w:rFonts w:ascii="Times New Roman" w:hAnsi="Times New Roman"/>
                <w:sz w:val="18"/>
                <w:szCs w:val="18"/>
              </w:rPr>
              <w:t>Chlorambucil</w:t>
            </w:r>
          </w:p>
        </w:tc>
        <w:tc>
          <w:tcPr>
            <w:tcW w:w="1201" w:type="pct"/>
            <w:vAlign w:val="bottom"/>
          </w:tcPr>
          <w:p w14:paraId="22807018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E5">
              <w:rPr>
                <w:rFonts w:ascii="Times New Roman" w:hAnsi="Times New Roman"/>
                <w:sz w:val="18"/>
                <w:szCs w:val="18"/>
              </w:rPr>
              <w:t>7 (7.8)</w:t>
            </w:r>
          </w:p>
        </w:tc>
      </w:tr>
      <w:tr w:rsidR="0040344D" w:rsidRPr="002A5307" w14:paraId="7DA55EAD" w14:textId="77777777" w:rsidTr="00794C94">
        <w:tc>
          <w:tcPr>
            <w:tcW w:w="3799" w:type="pct"/>
            <w:vAlign w:val="center"/>
          </w:tcPr>
          <w:p w14:paraId="56092DBD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sz w:val="18"/>
                <w:szCs w:val="18"/>
              </w:rPr>
            </w:pPr>
            <w:r w:rsidRPr="002A5307">
              <w:rPr>
                <w:rFonts w:ascii="Times New Roman" w:hAnsi="Times New Roman"/>
                <w:sz w:val="18"/>
                <w:szCs w:val="18"/>
              </w:rPr>
              <w:t>R-CHOP</w:t>
            </w:r>
          </w:p>
        </w:tc>
        <w:tc>
          <w:tcPr>
            <w:tcW w:w="1201" w:type="pct"/>
            <w:vAlign w:val="bottom"/>
          </w:tcPr>
          <w:p w14:paraId="392C9037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E5">
              <w:rPr>
                <w:rFonts w:ascii="Times New Roman" w:hAnsi="Times New Roman"/>
                <w:sz w:val="18"/>
                <w:szCs w:val="18"/>
              </w:rPr>
              <w:t>4 (4.4)</w:t>
            </w:r>
          </w:p>
        </w:tc>
      </w:tr>
      <w:tr w:rsidR="0040344D" w:rsidRPr="002A5307" w14:paraId="5B3C19F6" w14:textId="77777777" w:rsidTr="00794C94">
        <w:tc>
          <w:tcPr>
            <w:tcW w:w="3799" w:type="pct"/>
            <w:vAlign w:val="center"/>
          </w:tcPr>
          <w:p w14:paraId="4C2E04BD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sz w:val="18"/>
                <w:szCs w:val="18"/>
              </w:rPr>
            </w:pPr>
            <w:r w:rsidRPr="002A5307">
              <w:rPr>
                <w:rFonts w:ascii="Times New Roman" w:hAnsi="Times New Roman"/>
                <w:sz w:val="18"/>
                <w:szCs w:val="18"/>
              </w:rPr>
              <w:t>FCR</w:t>
            </w:r>
          </w:p>
        </w:tc>
        <w:tc>
          <w:tcPr>
            <w:tcW w:w="1201" w:type="pct"/>
            <w:vAlign w:val="bottom"/>
          </w:tcPr>
          <w:p w14:paraId="1C78A419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E5">
              <w:rPr>
                <w:rFonts w:ascii="Times New Roman" w:hAnsi="Times New Roman"/>
                <w:sz w:val="18"/>
                <w:szCs w:val="18"/>
              </w:rPr>
              <w:t>2 (2.2)</w:t>
            </w:r>
          </w:p>
        </w:tc>
      </w:tr>
      <w:tr w:rsidR="0040344D" w:rsidRPr="002A5307" w14:paraId="758B38E8" w14:textId="77777777" w:rsidTr="00794C94">
        <w:tc>
          <w:tcPr>
            <w:tcW w:w="3799" w:type="pct"/>
            <w:vAlign w:val="center"/>
          </w:tcPr>
          <w:p w14:paraId="2BBCEC21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sz w:val="18"/>
                <w:szCs w:val="18"/>
              </w:rPr>
            </w:pPr>
            <w:r w:rsidRPr="002A5307">
              <w:rPr>
                <w:rFonts w:ascii="Times New Roman" w:hAnsi="Times New Roman"/>
                <w:sz w:val="18"/>
                <w:szCs w:val="18"/>
              </w:rPr>
              <w:t>Other rituximab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-containing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regimens</w:t>
            </w:r>
            <w:r w:rsidRPr="002A5307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01" w:type="pct"/>
            <w:vAlign w:val="bottom"/>
          </w:tcPr>
          <w:p w14:paraId="09BB67D6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E5">
              <w:rPr>
                <w:rFonts w:ascii="Times New Roman" w:hAnsi="Times New Roman"/>
                <w:sz w:val="18"/>
                <w:szCs w:val="18"/>
              </w:rPr>
              <w:t>6 (6.7)</w:t>
            </w:r>
          </w:p>
        </w:tc>
      </w:tr>
      <w:tr w:rsidR="0040344D" w:rsidRPr="002A5307" w14:paraId="3C530408" w14:textId="77777777" w:rsidTr="00794C94">
        <w:tc>
          <w:tcPr>
            <w:tcW w:w="3799" w:type="pct"/>
            <w:vAlign w:val="center"/>
          </w:tcPr>
          <w:p w14:paraId="79131703" w14:textId="77777777" w:rsidR="0040344D" w:rsidRPr="002A5307" w:rsidRDefault="0040344D" w:rsidP="00794C94">
            <w:pPr>
              <w:pStyle w:val="TableBodyText-H54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A5307">
              <w:rPr>
                <w:rFonts w:ascii="Times New Roman" w:hAnsi="Times New Roman"/>
                <w:sz w:val="18"/>
                <w:szCs w:val="18"/>
              </w:rPr>
              <w:t>Other-</w:t>
            </w:r>
            <w:r>
              <w:rPr>
                <w:rFonts w:ascii="Times New Roman" w:hAnsi="Times New Roman"/>
                <w:sz w:val="18"/>
                <w:szCs w:val="18"/>
              </w:rPr>
              <w:t>chemotherapy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only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regimens</w:t>
            </w:r>
            <w:r w:rsidRPr="002A5307">
              <w:rPr>
                <w:rFonts w:ascii="Times New Roman" w:hAnsi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201" w:type="pct"/>
            <w:vAlign w:val="bottom"/>
          </w:tcPr>
          <w:p w14:paraId="6C66BC4F" w14:textId="77777777" w:rsidR="0040344D" w:rsidRPr="002A5307" w:rsidRDefault="0040344D" w:rsidP="00794C94">
            <w:pPr>
              <w:pStyle w:val="TableBodyText-H5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E5">
              <w:rPr>
                <w:rFonts w:ascii="Times New Roman" w:hAnsi="Times New Roman"/>
                <w:sz w:val="18"/>
                <w:szCs w:val="18"/>
              </w:rPr>
              <w:t>10 (11.1)</w:t>
            </w:r>
          </w:p>
        </w:tc>
      </w:tr>
    </w:tbl>
    <w:p w14:paraId="57CE7EF2" w14:textId="77777777" w:rsidR="0040344D" w:rsidRPr="00C43349" w:rsidRDefault="0040344D" w:rsidP="0040344D">
      <w:pPr>
        <w:spacing w:before="120" w:after="0" w:line="240" w:lineRule="auto"/>
        <w:jc w:val="left"/>
        <w:rPr>
          <w:rFonts w:ascii="Times New Roman" w:hAnsi="Times New Roman" w:cs="Times New Roman"/>
          <w:sz w:val="16"/>
          <w:szCs w:val="16"/>
          <w:lang w:val="pt-PT"/>
        </w:rPr>
      </w:pPr>
      <w:r w:rsidRPr="00C43349">
        <w:rPr>
          <w:rFonts w:ascii="Times New Roman" w:hAnsi="Times New Roman" w:cs="Times New Roman"/>
          <w:sz w:val="16"/>
          <w:szCs w:val="16"/>
          <w:vertAlign w:val="superscript"/>
          <w:lang w:val="pt-PT"/>
        </w:rPr>
        <w:t>a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Chlorambucil / rituximab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3); gemcitabine / dexamethasone / cisplatin / rituximab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1); IVE / rituximab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1); venetoclax / rituximab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 xml:space="preserve">= 1). </w:t>
      </w:r>
    </w:p>
    <w:p w14:paraId="27E8F42A" w14:textId="77777777" w:rsidR="0040344D" w:rsidRPr="00C43349" w:rsidRDefault="0040344D" w:rsidP="0040344D">
      <w:pPr>
        <w:spacing w:before="120" w:after="0" w:line="240" w:lineRule="auto"/>
        <w:jc w:val="left"/>
        <w:rPr>
          <w:rFonts w:ascii="Times New Roman" w:hAnsi="Times New Roman" w:cs="Times New Roman"/>
          <w:sz w:val="16"/>
          <w:szCs w:val="16"/>
          <w:lang w:val="pt-PT"/>
        </w:rPr>
      </w:pPr>
      <w:r w:rsidRPr="00C43349">
        <w:rPr>
          <w:rFonts w:ascii="Times New Roman" w:hAnsi="Times New Roman" w:cs="Times New Roman"/>
          <w:sz w:val="16"/>
          <w:szCs w:val="16"/>
          <w:vertAlign w:val="superscript"/>
          <w:lang w:val="pt-PT"/>
        </w:rPr>
        <w:t>b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CVP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3); bendamustine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2); bendamustine / methylprednisolone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1); cyclophosphamide / prednisolone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1); fludarabine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1); VCD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1); velcade / dexamethasone (n</w:t>
      </w:r>
      <w:r w:rsidRPr="00C43349">
        <w:rPr>
          <w:rFonts w:ascii="Times New Roman" w:hAnsi="Times New Roman" w:cs="Times New Roman"/>
          <w:i/>
          <w:iCs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 w:cs="Times New Roman"/>
          <w:sz w:val="16"/>
          <w:szCs w:val="16"/>
          <w:lang w:val="pt-PT"/>
        </w:rPr>
        <w:t>= 1).</w:t>
      </w:r>
    </w:p>
    <w:p w14:paraId="2EEBB877" w14:textId="77777777" w:rsidR="0040344D" w:rsidRPr="00C43349" w:rsidRDefault="0040344D" w:rsidP="0040344D">
      <w:pPr>
        <w:pStyle w:val="NICEabbreviations"/>
        <w:spacing w:before="120"/>
        <w:rPr>
          <w:rFonts w:ascii="Times New Roman" w:hAnsi="Times New Roman"/>
          <w:sz w:val="16"/>
          <w:szCs w:val="16"/>
          <w:lang w:val="pt-PT"/>
        </w:rPr>
      </w:pPr>
      <w:r w:rsidRPr="00C43349">
        <w:rPr>
          <w:rFonts w:ascii="Times New Roman" w:hAnsi="Times New Roman"/>
          <w:sz w:val="16"/>
          <w:szCs w:val="16"/>
          <w:lang w:val="pt-PT"/>
        </w:rPr>
        <w:t>CVP: cyclophosphamide, vincristine, and prednisone; FCR:</w:t>
      </w:r>
      <w:r w:rsidRPr="00C43349">
        <w:rPr>
          <w:rStyle w:val="normaltextrun"/>
          <w:rFonts w:ascii="Times New Roman" w:hAnsi="Times New Roman"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/>
          <w:sz w:val="16"/>
          <w:szCs w:val="16"/>
          <w:lang w:val="pt-PT"/>
        </w:rPr>
        <w:t xml:space="preserve">fludarabine, cyclophosphamide, and rituximab; </w:t>
      </w:r>
      <w:r w:rsidRPr="00C43349">
        <w:rPr>
          <w:rStyle w:val="normaltextrun"/>
          <w:rFonts w:ascii="Times New Roman" w:hAnsi="Times New Roman"/>
          <w:sz w:val="16"/>
          <w:szCs w:val="16"/>
          <w:lang w:val="pt-PT"/>
        </w:rPr>
        <w:t>HMRN: Haematological Malignancy Research Network;</w:t>
      </w:r>
      <w:r w:rsidRPr="00C43349">
        <w:rPr>
          <w:rFonts w:ascii="Times New Roman" w:hAnsi="Times New Roman"/>
          <w:sz w:val="16"/>
          <w:szCs w:val="16"/>
          <w:lang w:val="pt-PT"/>
        </w:rPr>
        <w:t xml:space="preserve"> IVE: ifosfamide, epirubicin, etoposide; R-CHOP:</w:t>
      </w:r>
      <w:r w:rsidRPr="00C43349">
        <w:rPr>
          <w:rStyle w:val="normaltextrun"/>
          <w:rFonts w:ascii="Times New Roman" w:hAnsi="Times New Roman"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/>
          <w:sz w:val="16"/>
          <w:szCs w:val="16"/>
          <w:lang w:val="pt-PT"/>
        </w:rPr>
        <w:t>rituximab, cyclophosphamide, doxorubicin, vincristine, and prednisone; R-CVP:</w:t>
      </w:r>
      <w:r w:rsidRPr="00C43349">
        <w:rPr>
          <w:rStyle w:val="normaltextrun"/>
          <w:rFonts w:ascii="Times New Roman" w:hAnsi="Times New Roman"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/>
          <w:sz w:val="16"/>
          <w:szCs w:val="16"/>
          <w:lang w:val="pt-PT"/>
        </w:rPr>
        <w:t>rituximab, cyclophosphamide, vincristine, and prednisone; VCD:</w:t>
      </w:r>
      <w:r w:rsidRPr="00C43349">
        <w:rPr>
          <w:rStyle w:val="normaltextrun"/>
          <w:rFonts w:ascii="Times New Roman" w:hAnsi="Times New Roman"/>
          <w:sz w:val="16"/>
          <w:szCs w:val="16"/>
          <w:lang w:val="pt-PT"/>
        </w:rPr>
        <w:t xml:space="preserve"> </w:t>
      </w:r>
      <w:r w:rsidRPr="00C43349">
        <w:rPr>
          <w:rFonts w:ascii="Times New Roman" w:hAnsi="Times New Roman"/>
          <w:sz w:val="16"/>
          <w:szCs w:val="16"/>
          <w:lang w:val="pt-PT"/>
        </w:rPr>
        <w:t xml:space="preserve">velcade, cyclophosphamide, and dexamethasone. </w:t>
      </w:r>
    </w:p>
    <w:p w14:paraId="24107277" w14:textId="77777777" w:rsidR="0040344D" w:rsidRPr="00904C13" w:rsidRDefault="0040344D" w:rsidP="0040344D">
      <w:pPr>
        <w:pStyle w:val="EndNoteBibliography"/>
        <w:spacing w:after="0"/>
        <w:ind w:left="0" w:firstLine="0"/>
        <w:jc w:val="left"/>
        <w:rPr>
          <w:sz w:val="16"/>
          <w:szCs w:val="16"/>
        </w:rPr>
      </w:pPr>
      <w:r w:rsidRPr="006001F8">
        <w:rPr>
          <w:iCs/>
          <w:sz w:val="16"/>
          <w:szCs w:val="16"/>
        </w:rPr>
        <w:t xml:space="preserve">1. </w:t>
      </w:r>
      <w:r w:rsidRPr="006001F8">
        <w:rPr>
          <w:sz w:val="16"/>
          <w:szCs w:val="16"/>
        </w:rPr>
        <w:t xml:space="preserve">HMRN. The Clinical Management and Outcome of Marginal Zone Lymphoma (MZL) with a Focus on Relapsed/Refractory Disease: A Report from the Haematological Malignancy Research Network 2024. (Accessed: 16 January </w:t>
      </w:r>
      <w:r w:rsidRPr="00904C13">
        <w:rPr>
          <w:sz w:val="16"/>
          <w:szCs w:val="16"/>
        </w:rPr>
        <w:t xml:space="preserve">2026). </w:t>
      </w:r>
      <w:r w:rsidRPr="00E422E5">
        <w:t>https://hmrn.org/publications/reports</w:t>
      </w:r>
    </w:p>
    <w:p w14:paraId="497F37B8" w14:textId="77777777" w:rsidR="00AA7CA5" w:rsidRDefault="00AA7CA5"/>
    <w:sectPr w:rsidR="00AA7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44D"/>
    <w:rsid w:val="00073070"/>
    <w:rsid w:val="00155272"/>
    <w:rsid w:val="00213C10"/>
    <w:rsid w:val="00232E41"/>
    <w:rsid w:val="00292A89"/>
    <w:rsid w:val="002E7DFB"/>
    <w:rsid w:val="002F4674"/>
    <w:rsid w:val="0040344D"/>
    <w:rsid w:val="00503065"/>
    <w:rsid w:val="005E3F26"/>
    <w:rsid w:val="00863D4B"/>
    <w:rsid w:val="00936FC3"/>
    <w:rsid w:val="0096296E"/>
    <w:rsid w:val="009C1085"/>
    <w:rsid w:val="00AA7CA5"/>
    <w:rsid w:val="00B223BE"/>
    <w:rsid w:val="00CB282B"/>
    <w:rsid w:val="00CC220D"/>
    <w:rsid w:val="00D7658D"/>
    <w:rsid w:val="00FA310E"/>
    <w:rsid w:val="00FF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60D62"/>
  <w15:chartTrackingRefBased/>
  <w15:docId w15:val="{8B201EDA-33AC-4C6E-B9C7-716AFEA6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44D"/>
    <w:pPr>
      <w:spacing w:after="120" w:line="360" w:lineRule="auto"/>
      <w:jc w:val="both"/>
    </w:pPr>
    <w:rPr>
      <w:rFonts w:ascii="Arial" w:eastAsia="Times New Roman" w:hAnsi="Arial" w:cs="Arial"/>
      <w:kern w:val="0"/>
      <w:sz w:val="22"/>
      <w:lang w:val="en-GB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344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44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44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44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44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44D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44D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44D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44D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44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3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44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3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4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3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44D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3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44D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40344D"/>
    <w:pPr>
      <w:spacing w:line="240" w:lineRule="auto"/>
      <w:ind w:left="288" w:hanging="288"/>
    </w:pPr>
    <w:rPr>
      <w:rFonts w:ascii="Times New Roman" w:hAnsi="Times New Roman"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40344D"/>
    <w:rPr>
      <w:rFonts w:ascii="Times New Roman" w:eastAsia="Times New Roman" w:hAnsi="Times New Roman" w:cs="Times New Roman"/>
      <w:noProof/>
      <w:kern w:val="0"/>
      <w:sz w:val="20"/>
      <w:lang w:val="en-GB" w:eastAsia="en-CA"/>
      <w14:ligatures w14:val="none"/>
    </w:rPr>
  </w:style>
  <w:style w:type="table" w:styleId="TableGrid">
    <w:name w:val="Table Grid"/>
    <w:aliases w:val="Dossier table,Section 3- footnotes,Lash Style Table,Tabellengitternetz 9pt,Table Grid nm,NICE table,EVD CLL"/>
    <w:basedOn w:val="TableNormal"/>
    <w:uiPriority w:val="59"/>
    <w:rsid w:val="0040344D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Table">
    <w:name w:val="Figure/Table"/>
    <w:basedOn w:val="Normal"/>
    <w:link w:val="FigureTableChar"/>
    <w:qFormat/>
    <w:rsid w:val="0040344D"/>
    <w:pPr>
      <w:keepNext/>
      <w:tabs>
        <w:tab w:val="num" w:pos="1080"/>
      </w:tabs>
      <w:spacing w:before="120" w:after="60" w:line="240" w:lineRule="auto"/>
      <w:outlineLvl w:val="4"/>
    </w:pPr>
    <w:rPr>
      <w:rFonts w:ascii="Helvetica" w:hAnsi="Helvetica"/>
      <w:b/>
      <w:color w:val="000000" w:themeColor="text1"/>
      <w:sz w:val="20"/>
      <w:szCs w:val="20"/>
      <w:lang w:eastAsia="en-US"/>
    </w:rPr>
  </w:style>
  <w:style w:type="character" w:customStyle="1" w:styleId="FigureTableChar">
    <w:name w:val="Figure/Table Char"/>
    <w:basedOn w:val="DefaultParagraphFont"/>
    <w:link w:val="FigureTable"/>
    <w:rsid w:val="0040344D"/>
    <w:rPr>
      <w:rFonts w:ascii="Helvetica" w:eastAsia="Times New Roman" w:hAnsi="Helvetica" w:cs="Arial"/>
      <w:b/>
      <w:color w:val="000000" w:themeColor="text1"/>
      <w:kern w:val="0"/>
      <w:sz w:val="20"/>
      <w:szCs w:val="20"/>
      <w:lang w:val="en-GB"/>
      <w14:ligatures w14:val="none"/>
    </w:rPr>
  </w:style>
  <w:style w:type="character" w:customStyle="1" w:styleId="normaltextrun">
    <w:name w:val="normaltextrun"/>
    <w:basedOn w:val="DefaultParagraphFont"/>
    <w:rsid w:val="0040344D"/>
  </w:style>
  <w:style w:type="paragraph" w:customStyle="1" w:styleId="TableBodyText-H54">
    <w:name w:val="Table Body Text - H54"/>
    <w:basedOn w:val="BodyText"/>
    <w:link w:val="TableBodyText-H54Char"/>
    <w:qFormat/>
    <w:rsid w:val="0040344D"/>
    <w:pPr>
      <w:keepLines/>
      <w:widowControl w:val="0"/>
      <w:spacing w:before="40" w:after="40" w:line="276" w:lineRule="auto"/>
      <w:jc w:val="left"/>
    </w:pPr>
    <w:rPr>
      <w:rFonts w:cs="Times New Roman"/>
      <w:color w:val="000000" w:themeColor="text1"/>
      <w:sz w:val="20"/>
      <w:szCs w:val="20"/>
      <w:lang w:eastAsia="en-US"/>
    </w:rPr>
  </w:style>
  <w:style w:type="character" w:customStyle="1" w:styleId="TableBodyText-H54Char">
    <w:name w:val="Table Body Text - H54 Char"/>
    <w:basedOn w:val="DefaultParagraphFont"/>
    <w:link w:val="TableBodyText-H54"/>
    <w:rsid w:val="0040344D"/>
    <w:rPr>
      <w:rFonts w:ascii="Arial" w:eastAsia="Times New Roman" w:hAnsi="Arial" w:cs="Times New Roman"/>
      <w:color w:val="000000" w:themeColor="text1"/>
      <w:kern w:val="0"/>
      <w:sz w:val="20"/>
      <w:szCs w:val="20"/>
      <w:lang w:val="en-GB"/>
      <w14:ligatures w14:val="none"/>
    </w:rPr>
  </w:style>
  <w:style w:type="paragraph" w:customStyle="1" w:styleId="NICEabbreviations">
    <w:name w:val="NICE abbreviations"/>
    <w:basedOn w:val="Normal"/>
    <w:link w:val="NICEabbreviationsChar"/>
    <w:qFormat/>
    <w:rsid w:val="0040344D"/>
    <w:pPr>
      <w:spacing w:after="240" w:line="240" w:lineRule="auto"/>
      <w:contextualSpacing/>
      <w:jc w:val="left"/>
    </w:pPr>
    <w:rPr>
      <w:rFonts w:cs="Times New Roman"/>
      <w:sz w:val="18"/>
      <w:lang w:eastAsia="en-US"/>
    </w:rPr>
  </w:style>
  <w:style w:type="character" w:customStyle="1" w:styleId="NICEabbreviationsChar">
    <w:name w:val="NICE abbreviations Char"/>
    <w:basedOn w:val="DefaultParagraphFont"/>
    <w:link w:val="NICEabbreviations"/>
    <w:rsid w:val="0040344D"/>
    <w:rPr>
      <w:rFonts w:ascii="Arial" w:eastAsia="Times New Roman" w:hAnsi="Arial" w:cs="Times New Roman"/>
      <w:kern w:val="0"/>
      <w:sz w:val="18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40344D"/>
  </w:style>
  <w:style w:type="character" w:customStyle="1" w:styleId="BodyTextChar">
    <w:name w:val="Body Text Char"/>
    <w:basedOn w:val="DefaultParagraphFont"/>
    <w:link w:val="BodyText"/>
    <w:uiPriority w:val="99"/>
    <w:semiHidden/>
    <w:rsid w:val="0040344D"/>
    <w:rPr>
      <w:rFonts w:ascii="Arial" w:eastAsia="Times New Roman" w:hAnsi="Arial" w:cs="Arial"/>
      <w:kern w:val="0"/>
      <w:sz w:val="22"/>
      <w:lang w:val="en-GB"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f6fd2-5125-4c23-b935-9d16404da0a5">
      <Terms xmlns="http://schemas.microsoft.com/office/infopath/2007/PartnerControls"/>
    </lcf76f155ced4ddcb4097134ff3c332f>
    <TaxCatchAll xmlns="8c3c43cf-186b-4613-84b4-a4ff23217b56" xsi:nil="true"/>
  </documentManagement>
</p:properties>
</file>

<file path=customXml/itemProps1.xml><?xml version="1.0" encoding="utf-8"?>
<ds:datastoreItem xmlns:ds="http://schemas.openxmlformats.org/officeDocument/2006/customXml" ds:itemID="{5037DC9E-B09C-40EF-AB03-A7185F14B3AC}"/>
</file>

<file path=customXml/itemProps2.xml><?xml version="1.0" encoding="utf-8"?>
<ds:datastoreItem xmlns:ds="http://schemas.openxmlformats.org/officeDocument/2006/customXml" ds:itemID="{EB0E8EE3-7023-4A35-844B-DAD5D5654A38}"/>
</file>

<file path=customXml/itemProps3.xml><?xml version="1.0" encoding="utf-8"?>
<ds:datastoreItem xmlns:ds="http://schemas.openxmlformats.org/officeDocument/2006/customXml" ds:itemID="{9A5E09F4-B891-4F83-9B7C-1ECD5F89ED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2026-08-28T16:17:00Z</dcterms:created>
  <dcterms:modified xsi:type="dcterms:W3CDTF">2026-08-28T16:17:00Z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</Properties>
</file>